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4D44B" w14:textId="0212A5F4" w:rsidR="00016123" w:rsidRPr="00016123" w:rsidRDefault="00016123" w:rsidP="00016123">
      <w:pPr>
        <w:jc w:val="center"/>
        <w:rPr>
          <w:rFonts w:ascii="Work Sans" w:hAnsi="Work Sans"/>
          <w:b/>
          <w:bCs/>
          <w:sz w:val="24"/>
          <w:szCs w:val="24"/>
        </w:rPr>
      </w:pPr>
      <w:r w:rsidRPr="00016123">
        <w:rPr>
          <w:rFonts w:ascii="Work Sans" w:hAnsi="Work Sans"/>
          <w:b/>
          <w:bCs/>
          <w:sz w:val="24"/>
          <w:szCs w:val="24"/>
        </w:rPr>
        <w:t>CONCEPTO DE JUSTIFICACIÓN DE MODIFICACIÓN</w:t>
      </w:r>
    </w:p>
    <w:p w14:paraId="4594FDC4" w14:textId="6189D247" w:rsidR="00016123" w:rsidRPr="00016123" w:rsidRDefault="00016123" w:rsidP="00016123">
      <w:pPr>
        <w:jc w:val="both"/>
        <w:rPr>
          <w:rFonts w:ascii="Work Sans" w:hAnsi="Work Sans"/>
          <w:sz w:val="24"/>
          <w:szCs w:val="24"/>
        </w:rPr>
      </w:pPr>
      <w:r w:rsidRPr="00016123">
        <w:rPr>
          <w:rFonts w:ascii="Work Sans" w:hAnsi="Work Sans"/>
          <w:sz w:val="24"/>
          <w:szCs w:val="24"/>
        </w:rPr>
        <w:t>La modificación de la Resolución 40509 de 2024 responde a la necesidad de fortalecer, precisar y dotar de mayor trazabilidad técnica los mecanismos de focalización, priorización y asignación de recursos públicos destinados a la implementación de proyectos en el marco de la Estrategia de Comunidades Energéticas. En particular, el ajuste normativo resulta oportuno y conveniente debido a que el proceso de implementación de la estrategia ha evidenciado la necesidad de contar con criterios objetivos, verificables, reproducibles y técnicamente sustentados que permitan orientar la inversión pública hacia los territorios con mayores brechas sociales y energéticas del país.</w:t>
      </w:r>
    </w:p>
    <w:p w14:paraId="7FD80F4E" w14:textId="77777777" w:rsidR="00016123" w:rsidRPr="00016123" w:rsidRDefault="00016123" w:rsidP="00016123">
      <w:pPr>
        <w:jc w:val="both"/>
        <w:rPr>
          <w:rFonts w:ascii="Work Sans" w:hAnsi="Work Sans"/>
          <w:sz w:val="24"/>
          <w:szCs w:val="24"/>
        </w:rPr>
      </w:pPr>
      <w:r w:rsidRPr="00016123">
        <w:rPr>
          <w:rFonts w:ascii="Work Sans" w:hAnsi="Work Sans"/>
          <w:sz w:val="24"/>
          <w:szCs w:val="24"/>
        </w:rPr>
        <w:t>En desarrollo del Plan Nacional de Desarrollo 2022–2026 “Colombia Potencia Mundial de la Vida”, la transición energética justa se concibe como una política pública de carácter social, territorial y ambiental, cuyo propósito no se limita a la transformación tecnológica de la matriz energética, sino que busca ampliar el acceso equitativo a servicios energéticos, reducir desigualdades históricas y fortalecer la participación comunitaria en la gestión de la energía. Bajo este enfoque, las comunidades energéticas se consolidan como un instrumento de democratización energética, inclusión territorial y cierre de brechas, especialmente en zonas rurales dispersas, territorios étnicos y regiones con altos índices de pobreza multidimensional y pobreza energética.</w:t>
      </w:r>
    </w:p>
    <w:p w14:paraId="1ED03200" w14:textId="77777777" w:rsidR="00016123" w:rsidRPr="00016123" w:rsidRDefault="00016123" w:rsidP="00016123">
      <w:pPr>
        <w:jc w:val="both"/>
        <w:rPr>
          <w:rFonts w:ascii="Work Sans" w:hAnsi="Work Sans"/>
          <w:sz w:val="24"/>
          <w:szCs w:val="24"/>
        </w:rPr>
      </w:pPr>
      <w:r w:rsidRPr="00016123">
        <w:rPr>
          <w:rFonts w:ascii="Work Sans" w:hAnsi="Work Sans"/>
          <w:sz w:val="24"/>
          <w:szCs w:val="24"/>
        </w:rPr>
        <w:t>En este contexto, la experiencia institucional derivada de las convocatorias adelantadas por el Ministerio de Minas y Energía evidenció la necesidad de complementar el marco regulatorio vigente mediante la incorporación de una metodología de priorización técnicamente estructurada, que permita ordenar los proyectos postulados bajo parámetros homogéneos y comparables. Lo anterior cobra especial relevancia considerando el incremento en el número de iniciativas presentadas por operadores de red, entidades territoriales y organizaciones comunitarias, así como la necesidad de garantizar transparencia, objetividad y eficiencia en la programación de los recursos públicos.</w:t>
      </w:r>
    </w:p>
    <w:p w14:paraId="341AFDD9" w14:textId="77777777" w:rsidR="00016123" w:rsidRPr="00016123" w:rsidRDefault="00016123" w:rsidP="00016123">
      <w:pPr>
        <w:jc w:val="both"/>
        <w:rPr>
          <w:rFonts w:ascii="Work Sans" w:hAnsi="Work Sans"/>
          <w:sz w:val="24"/>
          <w:szCs w:val="24"/>
        </w:rPr>
      </w:pPr>
      <w:r w:rsidRPr="00016123">
        <w:rPr>
          <w:rFonts w:ascii="Work Sans" w:hAnsi="Work Sans"/>
          <w:sz w:val="24"/>
          <w:szCs w:val="24"/>
        </w:rPr>
        <w:t xml:space="preserve">La modificación normativa resulta conveniente en la medida en que incorpora criterios cuantitativos y cualitativos matematizados que permiten identificar de manera objetiva las iniciativas con mayor impacto social, mayor viabilidad de ejecución y mayor alineación con las prioridades territoriales definidas por el Gobierno nacional. En particular, la metodología incorpora variables relacionadas con: (i) niveles de pobreza multidimensional; (ii) pobreza energética multidimensional; (iii) madurez técnica, jurídica y operativa de los proyectos; (iv) cobertura poblacional </w:t>
      </w:r>
      <w:r w:rsidRPr="00016123">
        <w:rPr>
          <w:rFonts w:ascii="Work Sans" w:hAnsi="Work Sans"/>
          <w:sz w:val="24"/>
          <w:szCs w:val="24"/>
        </w:rPr>
        <w:lastRenderedPageBreak/>
        <w:t>esperada; (v) modalidad institucional de ejecución; (vi) focalización territorial estratégica; y (vii) compromisos específicos adquiridos por el Estado colombiano en determinados territorios.</w:t>
      </w:r>
    </w:p>
    <w:p w14:paraId="0A892B21" w14:textId="77777777" w:rsidR="00016123" w:rsidRPr="00016123" w:rsidRDefault="00016123" w:rsidP="00016123">
      <w:pPr>
        <w:jc w:val="both"/>
        <w:rPr>
          <w:rFonts w:ascii="Work Sans" w:hAnsi="Work Sans"/>
          <w:sz w:val="24"/>
          <w:szCs w:val="24"/>
        </w:rPr>
      </w:pPr>
      <w:r w:rsidRPr="00016123">
        <w:rPr>
          <w:rFonts w:ascii="Work Sans" w:hAnsi="Work Sans"/>
          <w:sz w:val="24"/>
          <w:szCs w:val="24"/>
        </w:rPr>
        <w:t>La inclusión de estos criterios permite avanzar hacia un modelo de asignación de recursos basado en analítica de datos, evidencia territorial y criterios de priorización verificables, reduciendo riesgos de discrecionalidad administrativa y fortaleciendo los principios de transparencia, planeación y eficiencia del gasto público. De igual manera, la metodología facilita la trazabilidad de las decisiones de inversión, permitiendo sustentar técnicamente la focalización de recursos ante órganos de control fiscal, instancias de control político y mecanismos de participación ciudadana.</w:t>
      </w:r>
    </w:p>
    <w:p w14:paraId="4B48346E" w14:textId="77777777" w:rsidR="00016123" w:rsidRPr="00016123" w:rsidRDefault="00016123" w:rsidP="00016123">
      <w:pPr>
        <w:jc w:val="both"/>
        <w:rPr>
          <w:rFonts w:ascii="Work Sans" w:hAnsi="Work Sans"/>
          <w:sz w:val="24"/>
          <w:szCs w:val="24"/>
        </w:rPr>
      </w:pPr>
      <w:r w:rsidRPr="00016123">
        <w:rPr>
          <w:rFonts w:ascii="Work Sans" w:hAnsi="Work Sans"/>
          <w:sz w:val="24"/>
          <w:szCs w:val="24"/>
        </w:rPr>
        <w:t>Adicionalmente, el ajuste regulatorio resulta necesario para garantizar que los recursos públicos sean dirigidos prioritariamente a proyectos con condiciones reales de implementación en el corto y mediano plazo. La incorporación de variables asociadas a validación técnica, disponibilidad institucional y capacidad operativa permite mitigar riesgos de retrasos en ejecución, problemas contractuales o dificultades de sostenibilidad operativa posteriores a la puesta en marcha de los proyectos. Con ello, se busca maximizar la efectividad de la inversión pública y asegurar resultados verificables en términos de cobertura, calidad y acceso al servicio de energía.</w:t>
      </w:r>
    </w:p>
    <w:p w14:paraId="2C103694" w14:textId="77777777" w:rsidR="00016123" w:rsidRPr="00016123" w:rsidRDefault="00016123" w:rsidP="00016123">
      <w:pPr>
        <w:jc w:val="both"/>
        <w:rPr>
          <w:rFonts w:ascii="Work Sans" w:hAnsi="Work Sans"/>
          <w:sz w:val="24"/>
          <w:szCs w:val="24"/>
        </w:rPr>
      </w:pPr>
      <w:r w:rsidRPr="00016123">
        <w:rPr>
          <w:rFonts w:ascii="Work Sans" w:hAnsi="Work Sans"/>
          <w:sz w:val="24"/>
          <w:szCs w:val="24"/>
        </w:rPr>
        <w:t>La modificación de la Resolución 40509 de 2024 también responde a la necesidad de armonizar la política sectorial con las prioridades territoriales del Gobierno nacional y con los compromisos institucionales adquiridos en escenarios de diálogo social, acuerdos territoriales, procesos de concertación y atención de comunidades históricamente excluidas. En este sentido, la metodología reconoce expresamente territorios con altos niveles de vulnerabilidad energética y social, así como municipios y comunidades sobre los cuales existen obligaciones específicas de intervención estatal, contribuyendo al fortalecimiento de la presencia institucional y a la reducción de conflictividades asociadas a la ausencia histórica de infraestructura energética.</w:t>
      </w:r>
    </w:p>
    <w:p w14:paraId="050AA4B6" w14:textId="77777777" w:rsidR="00016123" w:rsidRPr="00016123" w:rsidRDefault="00016123" w:rsidP="00016123">
      <w:pPr>
        <w:jc w:val="both"/>
        <w:rPr>
          <w:rFonts w:ascii="Work Sans" w:hAnsi="Work Sans"/>
          <w:sz w:val="24"/>
          <w:szCs w:val="24"/>
        </w:rPr>
      </w:pPr>
      <w:r w:rsidRPr="00016123">
        <w:rPr>
          <w:rFonts w:ascii="Work Sans" w:hAnsi="Work Sans"/>
          <w:sz w:val="24"/>
          <w:szCs w:val="24"/>
        </w:rPr>
        <w:t>Asimismo, la expedición del acto administrativo fortalece el principio de justicia territorial contenido en la política de transición energética justa, al permitir que la asignación de recursos responda no únicamente a criterios de cobertura poblacional, sino también a condiciones estructurales de rezago, pobreza y exclusión energética. Esto garantiza una intervención diferencial y focalizada en favor de los territorios con mayores necesidades, promoviendo un enfoque de equidad territorial en la inversión pública del sector minero-energético.</w:t>
      </w:r>
    </w:p>
    <w:p w14:paraId="045D7E89" w14:textId="77777777" w:rsidR="00016123" w:rsidRPr="00016123" w:rsidRDefault="00016123" w:rsidP="00016123">
      <w:pPr>
        <w:jc w:val="both"/>
        <w:rPr>
          <w:rFonts w:ascii="Work Sans" w:hAnsi="Work Sans"/>
          <w:sz w:val="24"/>
          <w:szCs w:val="24"/>
        </w:rPr>
      </w:pPr>
      <w:r w:rsidRPr="00016123">
        <w:rPr>
          <w:rFonts w:ascii="Work Sans" w:hAnsi="Work Sans"/>
          <w:sz w:val="24"/>
          <w:szCs w:val="24"/>
        </w:rPr>
        <w:lastRenderedPageBreak/>
        <w:t>Desde la perspectiva técnica y administrativa, la modificación normativa proporciona mayor seguridad jurídica y claridad procedimental para los actores involucrados en la formulación, evaluación y ejecución de proyectos de comunidades energéticas. La definición explícita de criterios de evaluación y de metodologías de ponderación permite uniformar los procesos internos del Ministerio y fortalecer la coordinación con operadores de red, entidades territoriales y demás actores participantes en la estrategia.</w:t>
      </w:r>
    </w:p>
    <w:p w14:paraId="11CC0BE3" w14:textId="64FE94AD" w:rsidR="00016123" w:rsidRDefault="00F4382E" w:rsidP="00016123">
      <w:pPr>
        <w:jc w:val="both"/>
        <w:rPr>
          <w:rFonts w:ascii="Work Sans" w:hAnsi="Work Sans"/>
          <w:sz w:val="24"/>
          <w:szCs w:val="24"/>
        </w:rPr>
      </w:pPr>
      <w:r>
        <w:rPr>
          <w:rFonts w:ascii="Work Sans" w:hAnsi="Work Sans"/>
          <w:sz w:val="24"/>
          <w:szCs w:val="24"/>
        </w:rPr>
        <w:t>Así las cosas</w:t>
      </w:r>
      <w:r w:rsidR="00016123" w:rsidRPr="00016123">
        <w:rPr>
          <w:rFonts w:ascii="Work Sans" w:hAnsi="Work Sans"/>
          <w:sz w:val="24"/>
          <w:szCs w:val="24"/>
        </w:rPr>
        <w:t>, la expedición de la modificación a la Resolución 40509 de 2024 resulta necesaria, oportuna y conveniente, toda vez que fortalece los mecanismos de focalización de recursos públicos, mejora la eficiencia y transparencia de los procesos de priorización, garantiza mayor coherencia con los objetivos de transición energética justa y contribuye al cumplimiento de los fines constitucionales y legales asociados al acceso equitativo a servicios energéticos, al cierre de brechas territoriales y al fortalecimiento de las capacidades comunitarias en el sector energético colombiano.</w:t>
      </w:r>
    </w:p>
    <w:p w14:paraId="65C4483A" w14:textId="11E7BD72" w:rsidR="00F4382E" w:rsidRDefault="00F4382E" w:rsidP="00016123">
      <w:pPr>
        <w:jc w:val="both"/>
        <w:rPr>
          <w:rFonts w:ascii="Work Sans" w:hAnsi="Work Sans"/>
          <w:sz w:val="24"/>
          <w:szCs w:val="24"/>
        </w:rPr>
      </w:pPr>
      <w:r w:rsidRPr="00F4382E">
        <w:rPr>
          <w:rFonts w:ascii="Work Sans" w:hAnsi="Work Sans"/>
          <w:b/>
          <w:bCs/>
          <w:sz w:val="24"/>
          <w:szCs w:val="24"/>
        </w:rPr>
        <w:t>Análisis de las normas que otorgan la competencia para la expedición del proyecto normativo</w:t>
      </w:r>
    </w:p>
    <w:p w14:paraId="63E982EC"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El Ministerio de Minas y Energía es competente para expedir el presente acto administrativo, en ejercicio de las facultades constitucionales, legales y reglamentarias asignadas para la formulación, adopción e implementación de la política pública del sector minero-energético, particularmente en materia de transición energética, energización rural, democratización del acceso a la energía y desarrollo de Comunidades Energéticas.</w:t>
      </w:r>
    </w:p>
    <w:p w14:paraId="10508415"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En primer lugar, el artículo 235 de la Ley 2294 de 2023, por medio de la cual se expidió el Plan Nacional de Desarrollo 2022–2026 “Colombia Potencia Mundial de la Vida”, incorporó el marco normativo de las Comunidades Energéticas como instrumento de democratización energética, gestión comunitaria de la energía y promoción de esquemas asociativos para la generación, comercialización, uso eficiente y almacenamiento de energía a partir de Fuentes No Convencionales de Energía Renovable (FNCER), combustibles renovables y demás tecnologías descentralizadas.</w:t>
      </w:r>
    </w:p>
    <w:p w14:paraId="7BE7E621"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 xml:space="preserve">La citada disposición estableció expresamente la competencia del Gobierno nacional para desarrollar los mecanismos regulatorios, institucionales y operativos necesarios para la implementación de las Comunidades Energéticas, así como para definir instrumentos de focalización, priorización y asignación de recursos orientados al cierre de brechas energéticas y sociales en el territorio nacional. En consecuencia, el Ministerio de Minas y Energía, como cabeza del sector administrativo </w:t>
      </w:r>
      <w:r w:rsidRPr="00F4382E">
        <w:rPr>
          <w:rFonts w:ascii="Work Sans" w:hAnsi="Work Sans"/>
          <w:sz w:val="24"/>
          <w:szCs w:val="24"/>
        </w:rPr>
        <w:lastRenderedPageBreak/>
        <w:t>minero-energético, se encuentra habilitado para adoptar las disposiciones regulatorias requeridas para la operativización de dicha política pública.</w:t>
      </w:r>
    </w:p>
    <w:p w14:paraId="0A746B4A"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De igual manera, el Decreto 2236 de 2023, mediante el cual se adicionó el Decreto Único Reglamentario del Sector Administrativo de Minas y Energía —Decreto 1073 de 2015—, reglamentó aspectos relacionados con las Comunidades Energéticas y asignó al Ministerio de Minas y Energía la administración, operación y definición de lineamientos del Registro de Comunidades Energéticas (RCE).</w:t>
      </w:r>
    </w:p>
    <w:p w14:paraId="2F44AD8E"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En particular, dicho decreto facultó al Ministerio para establecer las condiciones técnicas, operativas y procedimentales necesarias para el funcionamiento del registro, así como para definir mecanismos de priorización, seguimiento, focalización y articulación institucional asociados a la implementación de proyectos energéticos comunitarios. Bajo este marco reglamentario, la expedición del presente acto administrativo constituye una manifestación concreta de la potestad regulatoria y administrativa atribuida a esta Cartera Ministerial para garantizar la adecuada implementación y funcionamiento del esquema de Comunidades Energéticas.</w:t>
      </w:r>
    </w:p>
    <w:p w14:paraId="78C2F8D9"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Así mismo, el artículo 41 de la Ley 2099 de 2021 creó el Fondo Único de Soluciones Energéticas – FONENERGÍA, como instrumento destinado a financiar planes, programas y proyectos orientados a ampliar cobertura energética, promover el acceso universal a la energía y apoyar la transición energética del país, especialmente en zonas rurales, apartadas y con mayores condiciones de vulnerabilidad.</w:t>
      </w:r>
    </w:p>
    <w:p w14:paraId="6AD19BFC"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Posteriormente, el Decreto 0375 de 2026 reglamentó la estructura operativa y los mecanismos de administración de dicho fondo, definiendo lineamientos para la focalización y ejecución de recursos públicos destinados a soluciones energéticas sostenibles. En este sentido, la modificación normativa propuesta resulta necesaria para armonizar las disposiciones regulatorias relacionadas con el Registro de Comunidades Energéticas y los mecanismos de priorización de proyectos con las nuevas herramientas de financiación y programación presupuestal previstas para FONENERGÍA, garantizando coherencia normativa, articulación institucional y adecuada trazabilidad en la asignación de recursos públicos.</w:t>
      </w:r>
    </w:p>
    <w:p w14:paraId="0659F5D5"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 xml:space="preserve">Adicionalmente, el Decreto 381 de 2012, “por el cual se modifica la estructura del Ministerio de Minas y Energía”, establece dentro de las funciones de esta Cartera la formulación, adopción, dirección y coordinación de la política pública del sector energético; la expedición de reglamentos, lineamientos y disposiciones técnicas relacionadas con el acceso, cobertura y prestación del servicio público de energía; así como la </w:t>
      </w:r>
      <w:r w:rsidRPr="00F4382E">
        <w:rPr>
          <w:rFonts w:ascii="Work Sans" w:hAnsi="Work Sans"/>
          <w:sz w:val="24"/>
          <w:szCs w:val="24"/>
        </w:rPr>
        <w:lastRenderedPageBreak/>
        <w:t>promoción de estrategias orientadas al desarrollo energético sostenible, la eficiencia energética y la ampliación de cobertura en el territorio nacional.</w:t>
      </w:r>
    </w:p>
    <w:p w14:paraId="4438936B"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Estas competencias comprenden la facultad de expedir actos administrativos de carácter general necesarios para desarrollar instrumentos de política pública asociados a la transición energética justa y a la implementación de mecanismos de acceso comunitario a la energía, especialmente cuando estos involucran criterios técnicos de priorización, focalización territorial y asignación eficiente de recursos públicos.</w:t>
      </w:r>
    </w:p>
    <w:p w14:paraId="497C3BB3"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Desde el punto de vista técnico y administrativo, la expedición del presente acto administrativo también encuentra sustento en los principios de eficiencia, planeación, coordinación y sostenibilidad de la gestión pública, previstos en el artículo 209 de la Constitución Política y desarrollados por la Ley 489 de 1998. La incorporación de metodologías objetivas de priorización y mecanismos de focalización territorial permite optimizar la asignación de recursos del sector energético, fortalecer la transparencia administrativa y garantizar que las inversiones públicas respondan a criterios verificables de necesidad social, pobreza energética, viabilidad técnica y cierre de brechas territoriales.</w:t>
      </w:r>
    </w:p>
    <w:p w14:paraId="3E0B14F9" w14:textId="77777777" w:rsidR="00F4382E" w:rsidRPr="00F4382E" w:rsidRDefault="00F4382E" w:rsidP="00F4382E">
      <w:pPr>
        <w:jc w:val="both"/>
        <w:rPr>
          <w:rFonts w:ascii="Work Sans" w:hAnsi="Work Sans"/>
          <w:sz w:val="24"/>
          <w:szCs w:val="24"/>
        </w:rPr>
      </w:pPr>
      <w:r w:rsidRPr="00F4382E">
        <w:rPr>
          <w:rFonts w:ascii="Work Sans" w:hAnsi="Work Sans"/>
          <w:sz w:val="24"/>
          <w:szCs w:val="24"/>
        </w:rPr>
        <w:t>En consecuencia, y atendiendo el marco constitucional, legal y reglamentario previamente expuesto, el Ministerio de Minas y Energía se encuentra plenamente facultado para expedir la presente resolución, en ejercicio de sus competencias de regulación, coordinación y ejecución de la política pública energética, particularmente en lo relacionado con la implementación y fortalecimiento de la Estrategia de Comunidades Energéticas y los mecanismos de priorización para la asignación de recursos públicos del sector.</w:t>
      </w:r>
    </w:p>
    <w:p w14:paraId="320E99B6" w14:textId="77777777" w:rsidR="00F4382E" w:rsidRPr="00016123" w:rsidRDefault="00F4382E" w:rsidP="00016123">
      <w:pPr>
        <w:jc w:val="both"/>
        <w:rPr>
          <w:rFonts w:ascii="Work Sans" w:hAnsi="Work Sans"/>
          <w:sz w:val="24"/>
          <w:szCs w:val="24"/>
        </w:rPr>
      </w:pPr>
    </w:p>
    <w:p w14:paraId="5BF0CD31" w14:textId="77777777" w:rsidR="00016123" w:rsidRPr="00016123" w:rsidRDefault="00016123" w:rsidP="00016123">
      <w:pPr>
        <w:jc w:val="both"/>
        <w:rPr>
          <w:rFonts w:ascii="Work Sans" w:hAnsi="Work Sans"/>
          <w:vanish/>
          <w:sz w:val="24"/>
          <w:szCs w:val="24"/>
        </w:rPr>
      </w:pPr>
      <w:r w:rsidRPr="00016123">
        <w:rPr>
          <w:rFonts w:ascii="Work Sans" w:hAnsi="Work Sans"/>
          <w:vanish/>
          <w:sz w:val="24"/>
          <w:szCs w:val="24"/>
        </w:rPr>
        <w:t>Principio del formulario</w:t>
      </w:r>
    </w:p>
    <w:p w14:paraId="3FFCC6D0" w14:textId="77777777" w:rsidR="00016123" w:rsidRPr="00016123" w:rsidRDefault="00016123" w:rsidP="00016123">
      <w:pPr>
        <w:jc w:val="both"/>
        <w:rPr>
          <w:rFonts w:ascii="Work Sans" w:hAnsi="Work Sans"/>
          <w:vanish/>
          <w:sz w:val="24"/>
          <w:szCs w:val="24"/>
        </w:rPr>
      </w:pPr>
      <w:r w:rsidRPr="00016123">
        <w:rPr>
          <w:rFonts w:ascii="Work Sans" w:hAnsi="Work Sans"/>
          <w:vanish/>
          <w:sz w:val="24"/>
          <w:szCs w:val="24"/>
        </w:rPr>
        <w:t>Final del formulario</w:t>
      </w:r>
    </w:p>
    <w:p w14:paraId="0ECFA597" w14:textId="77777777" w:rsidR="00F5460B" w:rsidRPr="00016123" w:rsidRDefault="00F5460B" w:rsidP="00016123">
      <w:pPr>
        <w:jc w:val="both"/>
        <w:rPr>
          <w:rFonts w:ascii="Work Sans" w:hAnsi="Work Sans"/>
          <w:sz w:val="24"/>
          <w:szCs w:val="24"/>
        </w:rPr>
      </w:pPr>
    </w:p>
    <w:sectPr w:rsidR="00F5460B" w:rsidRPr="00016123">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CD658" w14:textId="77777777" w:rsidR="00E22DDE" w:rsidRDefault="00E22DDE" w:rsidP="00016123">
      <w:pPr>
        <w:spacing w:after="0" w:line="240" w:lineRule="auto"/>
      </w:pPr>
      <w:r>
        <w:separator/>
      </w:r>
    </w:p>
  </w:endnote>
  <w:endnote w:type="continuationSeparator" w:id="0">
    <w:p w14:paraId="24E5E6BB" w14:textId="77777777" w:rsidR="00E22DDE" w:rsidRDefault="00E22DDE" w:rsidP="00016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F6839" w14:textId="201DCB54" w:rsidR="00016123" w:rsidRDefault="00016123">
    <w:pPr>
      <w:pStyle w:val="Piedepgina"/>
    </w:pPr>
    <w:r w:rsidRPr="00B7766A">
      <w:rPr>
        <w:rFonts w:ascii="Work Sans" w:hAnsi="Work Sans" w:cstheme="minorHAnsi"/>
        <w:noProof/>
        <w:sz w:val="18"/>
        <w:szCs w:val="18"/>
      </w:rPr>
      <w:drawing>
        <wp:anchor distT="0" distB="0" distL="114300" distR="114300" simplePos="0" relativeHeight="251662336" behindDoc="1" locked="0" layoutInCell="1" allowOverlap="1" wp14:anchorId="3A8AF645" wp14:editId="320E16B4">
          <wp:simplePos x="0" y="0"/>
          <wp:positionH relativeFrom="margin">
            <wp:align>right</wp:align>
          </wp:positionH>
          <wp:positionV relativeFrom="paragraph">
            <wp:posOffset>-255270</wp:posOffset>
          </wp:positionV>
          <wp:extent cx="1062355" cy="503555"/>
          <wp:effectExtent l="0" t="0" r="4445" b="0"/>
          <wp:wrapNone/>
          <wp:docPr id="129098584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414491" name="Imagen 1132414491"/>
                  <pic:cNvPicPr/>
                </pic:nvPicPr>
                <pic:blipFill>
                  <a:blip r:embed="rId1">
                    <a:extLst>
                      <a:ext uri="{28A0092B-C50C-407E-A947-70E740481C1C}">
                        <a14:useLocalDpi xmlns:a14="http://schemas.microsoft.com/office/drawing/2010/main" val="0"/>
                      </a:ext>
                    </a:extLst>
                  </a:blip>
                  <a:stretch>
                    <a:fillRect/>
                  </a:stretch>
                </pic:blipFill>
                <pic:spPr>
                  <a:xfrm>
                    <a:off x="0" y="0"/>
                    <a:ext cx="1062355" cy="5035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199486FD" wp14:editId="1F7C6DCC">
          <wp:simplePos x="0" y="0"/>
          <wp:positionH relativeFrom="margin">
            <wp:posOffset>0</wp:posOffset>
          </wp:positionH>
          <wp:positionV relativeFrom="paragraph">
            <wp:posOffset>-297180</wp:posOffset>
          </wp:positionV>
          <wp:extent cx="5143500" cy="800100"/>
          <wp:effectExtent l="0" t="0" r="0" b="0"/>
          <wp:wrapNone/>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2">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B64D6" w14:textId="77777777" w:rsidR="00E22DDE" w:rsidRDefault="00E22DDE" w:rsidP="00016123">
      <w:pPr>
        <w:spacing w:after="0" w:line="240" w:lineRule="auto"/>
      </w:pPr>
      <w:r>
        <w:separator/>
      </w:r>
    </w:p>
  </w:footnote>
  <w:footnote w:type="continuationSeparator" w:id="0">
    <w:p w14:paraId="7CDD92BD" w14:textId="77777777" w:rsidR="00E22DDE" w:rsidRDefault="00E22DDE" w:rsidP="00016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CE3E5" w14:textId="19C0A70B" w:rsidR="00016123" w:rsidRDefault="00016123">
    <w:pPr>
      <w:pStyle w:val="Encabezado"/>
    </w:pPr>
    <w:r w:rsidRPr="005617AA">
      <w:rPr>
        <w:noProof/>
      </w:rPr>
      <w:drawing>
        <wp:anchor distT="0" distB="0" distL="114300" distR="114300" simplePos="0" relativeHeight="251659264" behindDoc="0" locked="0" layoutInCell="1" allowOverlap="1" wp14:anchorId="0ED50D64" wp14:editId="427F8BE2">
          <wp:simplePos x="0" y="0"/>
          <wp:positionH relativeFrom="margin">
            <wp:align>center</wp:align>
          </wp:positionH>
          <wp:positionV relativeFrom="paragraph">
            <wp:posOffset>-313055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123"/>
    <w:rsid w:val="00016123"/>
    <w:rsid w:val="001B562B"/>
    <w:rsid w:val="00241926"/>
    <w:rsid w:val="005855E0"/>
    <w:rsid w:val="00985147"/>
    <w:rsid w:val="00E22DDE"/>
    <w:rsid w:val="00EB0889"/>
    <w:rsid w:val="00F4382E"/>
    <w:rsid w:val="00F546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CEADF"/>
  <w15:chartTrackingRefBased/>
  <w15:docId w15:val="{9B2C1A54-0746-483A-B2E9-7647AC0A1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161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161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1612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1612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1612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1612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1612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1612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1612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612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1612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1612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1612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1612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1612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1612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1612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16123"/>
    <w:rPr>
      <w:rFonts w:eastAsiaTheme="majorEastAsia" w:cstheme="majorBidi"/>
      <w:color w:val="272727" w:themeColor="text1" w:themeTint="D8"/>
    </w:rPr>
  </w:style>
  <w:style w:type="paragraph" w:styleId="Ttulo">
    <w:name w:val="Title"/>
    <w:basedOn w:val="Normal"/>
    <w:next w:val="Normal"/>
    <w:link w:val="TtuloCar"/>
    <w:uiPriority w:val="10"/>
    <w:qFormat/>
    <w:rsid w:val="000161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1612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1612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1612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16123"/>
    <w:pPr>
      <w:spacing w:before="160"/>
      <w:jc w:val="center"/>
    </w:pPr>
    <w:rPr>
      <w:i/>
      <w:iCs/>
      <w:color w:val="404040" w:themeColor="text1" w:themeTint="BF"/>
    </w:rPr>
  </w:style>
  <w:style w:type="character" w:customStyle="1" w:styleId="CitaCar">
    <w:name w:val="Cita Car"/>
    <w:basedOn w:val="Fuentedeprrafopredeter"/>
    <w:link w:val="Cita"/>
    <w:uiPriority w:val="29"/>
    <w:rsid w:val="00016123"/>
    <w:rPr>
      <w:i/>
      <w:iCs/>
      <w:color w:val="404040" w:themeColor="text1" w:themeTint="BF"/>
    </w:rPr>
  </w:style>
  <w:style w:type="paragraph" w:styleId="Prrafodelista">
    <w:name w:val="List Paragraph"/>
    <w:basedOn w:val="Normal"/>
    <w:uiPriority w:val="34"/>
    <w:qFormat/>
    <w:rsid w:val="00016123"/>
    <w:pPr>
      <w:ind w:left="720"/>
      <w:contextualSpacing/>
    </w:pPr>
  </w:style>
  <w:style w:type="character" w:styleId="nfasisintenso">
    <w:name w:val="Intense Emphasis"/>
    <w:basedOn w:val="Fuentedeprrafopredeter"/>
    <w:uiPriority w:val="21"/>
    <w:qFormat/>
    <w:rsid w:val="00016123"/>
    <w:rPr>
      <w:i/>
      <w:iCs/>
      <w:color w:val="0F4761" w:themeColor="accent1" w:themeShade="BF"/>
    </w:rPr>
  </w:style>
  <w:style w:type="paragraph" w:styleId="Citadestacada">
    <w:name w:val="Intense Quote"/>
    <w:basedOn w:val="Normal"/>
    <w:next w:val="Normal"/>
    <w:link w:val="CitadestacadaCar"/>
    <w:uiPriority w:val="30"/>
    <w:qFormat/>
    <w:rsid w:val="000161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16123"/>
    <w:rPr>
      <w:i/>
      <w:iCs/>
      <w:color w:val="0F4761" w:themeColor="accent1" w:themeShade="BF"/>
    </w:rPr>
  </w:style>
  <w:style w:type="character" w:styleId="Referenciaintensa">
    <w:name w:val="Intense Reference"/>
    <w:basedOn w:val="Fuentedeprrafopredeter"/>
    <w:uiPriority w:val="32"/>
    <w:qFormat/>
    <w:rsid w:val="00016123"/>
    <w:rPr>
      <w:b/>
      <w:bCs/>
      <w:smallCaps/>
      <w:color w:val="0F4761" w:themeColor="accent1" w:themeShade="BF"/>
      <w:spacing w:val="5"/>
    </w:rPr>
  </w:style>
  <w:style w:type="paragraph" w:styleId="Encabezado">
    <w:name w:val="header"/>
    <w:basedOn w:val="Normal"/>
    <w:link w:val="EncabezadoCar"/>
    <w:uiPriority w:val="99"/>
    <w:unhideWhenUsed/>
    <w:rsid w:val="000161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16123"/>
  </w:style>
  <w:style w:type="paragraph" w:styleId="Piedepgina">
    <w:name w:val="footer"/>
    <w:basedOn w:val="Normal"/>
    <w:link w:val="PiedepginaCar"/>
    <w:uiPriority w:val="99"/>
    <w:unhideWhenUsed/>
    <w:rsid w:val="000161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16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1947</Words>
  <Characters>10710</Characters>
  <Application>Microsoft Office Word</Application>
  <DocSecurity>0</DocSecurity>
  <Lines>89</Lines>
  <Paragraphs>25</Paragraphs>
  <ScaleCrop>false</ScaleCrop>
  <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AGREDA BOTINA</dc:creator>
  <cp:keywords/>
  <dc:description/>
  <cp:lastModifiedBy>JUAN CARLOS AGREDA BOTINA</cp:lastModifiedBy>
  <cp:revision>3</cp:revision>
  <dcterms:created xsi:type="dcterms:W3CDTF">2026-05-10T16:15:00Z</dcterms:created>
  <dcterms:modified xsi:type="dcterms:W3CDTF">2026-05-10T16:21:00Z</dcterms:modified>
</cp:coreProperties>
</file>